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FD752" w14:textId="57883244" w:rsidR="00951170" w:rsidRPr="00663246" w:rsidRDefault="00663246" w:rsidP="00663246">
      <w:pPr>
        <w:spacing w:after="0" w:line="276" w:lineRule="auto"/>
        <w:jc w:val="center"/>
        <w:rPr>
          <w:rFonts w:ascii="Cambria" w:hAnsi="Cambria"/>
          <w:b/>
          <w:bCs/>
          <w:lang w:val="en-GB"/>
        </w:rPr>
      </w:pPr>
      <w:r w:rsidRPr="00663246">
        <w:rPr>
          <w:rFonts w:ascii="Cambria" w:hAnsi="Cambria"/>
          <w:b/>
          <w:bCs/>
          <w:lang w:val="en-GB"/>
        </w:rPr>
        <w:t>Business Coaching Report - Commercial Development of a Smart Heavy-Metal Monitoring Solution for Natural Lakes</w:t>
      </w:r>
    </w:p>
    <w:p w14:paraId="40A08CBD" w14:textId="77777777" w:rsidR="00663246" w:rsidRPr="00663246" w:rsidRDefault="00663246" w:rsidP="00663246">
      <w:pPr>
        <w:spacing w:after="0" w:line="276" w:lineRule="auto"/>
        <w:jc w:val="both"/>
        <w:rPr>
          <w:rFonts w:ascii="Cambria" w:hAnsi="Cambria"/>
          <w:b/>
          <w:bCs/>
          <w:lang w:val="en-GB"/>
        </w:rPr>
      </w:pPr>
    </w:p>
    <w:p w14:paraId="533129FD" w14:textId="77777777" w:rsidR="00663246" w:rsidRPr="00663246" w:rsidRDefault="00663246" w:rsidP="00663246">
      <w:pPr>
        <w:pStyle w:val="Heading1"/>
        <w:spacing w:before="0" w:after="0" w:line="276" w:lineRule="auto"/>
        <w:ind w:firstLine="720"/>
        <w:jc w:val="both"/>
        <w:rPr>
          <w:rFonts w:ascii="Cambria" w:hAnsi="Cambria"/>
          <w:b/>
          <w:bCs/>
          <w:color w:val="auto"/>
          <w:sz w:val="24"/>
          <w:szCs w:val="24"/>
          <w:lang w:val="en-GB"/>
        </w:rPr>
      </w:pPr>
      <w:r w:rsidRPr="00663246">
        <w:rPr>
          <w:rFonts w:ascii="Cambria" w:hAnsi="Cambria"/>
          <w:b/>
          <w:bCs/>
          <w:color w:val="auto"/>
          <w:sz w:val="24"/>
          <w:szCs w:val="24"/>
          <w:lang w:val="en-GB"/>
        </w:rPr>
        <w:t>1. Entrepreneurial opportunity and coaching focus</w:t>
      </w:r>
    </w:p>
    <w:p w14:paraId="2024BE8E" w14:textId="77777777" w:rsidR="00663246" w:rsidRPr="00663246" w:rsidRDefault="00663246" w:rsidP="00663246">
      <w:pPr>
        <w:spacing w:after="0" w:line="276" w:lineRule="auto"/>
        <w:ind w:firstLine="720"/>
        <w:jc w:val="both"/>
        <w:rPr>
          <w:rFonts w:ascii="Cambria" w:hAnsi="Cambria"/>
          <w:lang w:val="en-GB"/>
        </w:rPr>
      </w:pPr>
      <w:r w:rsidRPr="00663246">
        <w:rPr>
          <w:rFonts w:ascii="Cambria" w:hAnsi="Cambria"/>
          <w:lang w:val="en-GB"/>
        </w:rPr>
        <w:t>The entrepreneurial idea combines low-cost water-quality sensing, periodic field sampling, geolocated measurements and artificial-intelligence-based analysis to create a more continuous view of heavy-metal pollution in natural lakes. The intended system would integrate data from fixed monitoring points, mobile field devices and laboratory-validated samples, then transform these observations into visual pollution maps, anomaly detection, risk forecasts and early-warning signals for organisations responsible for lake management and environmental protection.</w:t>
      </w:r>
    </w:p>
    <w:p w14:paraId="3CAF19CA" w14:textId="1B0B04DF" w:rsidR="00663246" w:rsidRPr="00663246" w:rsidRDefault="00663246" w:rsidP="00663246">
      <w:pPr>
        <w:spacing w:after="0" w:line="276" w:lineRule="auto"/>
        <w:ind w:firstLine="720"/>
        <w:jc w:val="both"/>
        <w:rPr>
          <w:rFonts w:ascii="Cambria" w:hAnsi="Cambria"/>
          <w:lang w:val="en-GB"/>
        </w:rPr>
      </w:pPr>
      <w:r w:rsidRPr="00663246">
        <w:rPr>
          <w:rFonts w:ascii="Cambria" w:hAnsi="Cambria"/>
          <w:lang w:val="en-GB"/>
        </w:rPr>
        <w:t>The solution is especially relevant for pollutants such as lead, cadmium, mercury, arsenic, chromium, copper and zinc. These contaminants can accumulate in water, sediments and aquatic organisms, and their presence may affect biodiversity, fish populations, ecosystem services and the perceived safety of lake-based economic activities. The business opportunity therefore lies in helping customers understand where pollution is occurring, how it is changing, where intervention should be prioritised and when additional sampling or remediation action may be required.</w:t>
      </w:r>
    </w:p>
    <w:p w14:paraId="2DC90D41" w14:textId="77777777" w:rsidR="00663246" w:rsidRDefault="00663246" w:rsidP="00663246">
      <w:pPr>
        <w:pStyle w:val="Heading1"/>
        <w:spacing w:before="0" w:after="0" w:line="276" w:lineRule="auto"/>
        <w:jc w:val="both"/>
        <w:rPr>
          <w:rFonts w:ascii="Cambria" w:hAnsi="Cambria"/>
          <w:sz w:val="24"/>
          <w:szCs w:val="24"/>
          <w:lang w:val="en-GB"/>
        </w:rPr>
      </w:pPr>
    </w:p>
    <w:p w14:paraId="70B9B25A" w14:textId="10C6982F" w:rsidR="00663246" w:rsidRPr="00663246" w:rsidRDefault="00663246" w:rsidP="00663246">
      <w:pPr>
        <w:pStyle w:val="Heading1"/>
        <w:spacing w:before="0" w:after="0" w:line="276" w:lineRule="auto"/>
        <w:ind w:firstLine="720"/>
        <w:jc w:val="both"/>
        <w:rPr>
          <w:rFonts w:ascii="Cambria" w:hAnsi="Cambria"/>
          <w:b/>
          <w:bCs/>
          <w:color w:val="auto"/>
          <w:sz w:val="24"/>
          <w:szCs w:val="24"/>
          <w:lang w:val="en-GB"/>
        </w:rPr>
      </w:pPr>
      <w:r w:rsidRPr="00663246">
        <w:rPr>
          <w:rFonts w:ascii="Cambria" w:hAnsi="Cambria"/>
          <w:b/>
          <w:bCs/>
          <w:color w:val="auto"/>
          <w:sz w:val="24"/>
          <w:szCs w:val="24"/>
          <w:lang w:val="en-GB"/>
        </w:rPr>
        <w:t>2. Core business problem to be solved</w:t>
      </w:r>
    </w:p>
    <w:p w14:paraId="1EFC23D4" w14:textId="64EA5760" w:rsidR="00663246" w:rsidRPr="00663246" w:rsidRDefault="00663246" w:rsidP="00663246">
      <w:pPr>
        <w:spacing w:after="0" w:line="276" w:lineRule="auto"/>
        <w:ind w:firstLine="720"/>
        <w:jc w:val="both"/>
        <w:rPr>
          <w:rFonts w:ascii="Cambria" w:hAnsi="Cambria"/>
          <w:lang w:val="en-GB"/>
        </w:rPr>
      </w:pPr>
      <w:r w:rsidRPr="00663246">
        <w:rPr>
          <w:rFonts w:ascii="Cambria" w:hAnsi="Cambria"/>
          <w:lang w:val="en-GB"/>
        </w:rPr>
        <w:t xml:space="preserve">The priority customer problem is best defined as a decision gap between environmental sampling and environmental action. Conventional monitoring is often periodic, expensive and fragmented across field teams, laboratories, projects and agencies. Laboratory testing provides high-quality evidence but may not offer the frequency or spatial coverage needed for rapid operational decisions. Low-cost sensors </w:t>
      </w:r>
      <w:r>
        <w:rPr>
          <w:rFonts w:ascii="Cambria" w:hAnsi="Cambria"/>
          <w:lang w:val="en-GB"/>
        </w:rPr>
        <w:t>will</w:t>
      </w:r>
      <w:r w:rsidRPr="00663246">
        <w:rPr>
          <w:rFonts w:ascii="Cambria" w:hAnsi="Cambria"/>
          <w:lang w:val="en-GB"/>
        </w:rPr>
        <w:t xml:space="preserve"> improve continuity and spatial density, but they require calibration, quality control and careful interpretation. </w:t>
      </w:r>
    </w:p>
    <w:p w14:paraId="686DB4C8" w14:textId="77777777" w:rsidR="00663246" w:rsidRDefault="00663246" w:rsidP="00663246">
      <w:pPr>
        <w:spacing w:after="0" w:line="276" w:lineRule="auto"/>
        <w:ind w:firstLine="720"/>
        <w:jc w:val="both"/>
        <w:rPr>
          <w:rFonts w:ascii="Cambria" w:hAnsi="Cambria"/>
          <w:lang w:val="en-GB"/>
        </w:rPr>
      </w:pPr>
      <w:r w:rsidRPr="00663246">
        <w:rPr>
          <w:rFonts w:ascii="Cambria" w:hAnsi="Cambria"/>
          <w:lang w:val="en-GB"/>
        </w:rPr>
        <w:t>For this reason, the product should not be positioned as an inexpensive replacement for accredited laboratory analysis. A stronger proposition is a hybrid intelligence layer that helps customers decide where to sample, when to investigate anomalies and how to interpret pollution dynamics between formal sampling campaigns. Laboratory-validated samples should remain an important element of the service because they provide calibration anchors, validation evidence and greater credibility for institutional customers.</w:t>
      </w:r>
    </w:p>
    <w:p w14:paraId="1F7B59CF" w14:textId="77777777" w:rsidR="00663246" w:rsidRDefault="00663246" w:rsidP="00663246">
      <w:pPr>
        <w:spacing w:after="0" w:line="276" w:lineRule="auto"/>
        <w:ind w:firstLine="720"/>
        <w:jc w:val="both"/>
        <w:rPr>
          <w:rFonts w:ascii="Cambria" w:hAnsi="Cambria"/>
          <w:lang w:val="en-GB"/>
        </w:rPr>
      </w:pPr>
    </w:p>
    <w:p w14:paraId="1C63A990" w14:textId="7F900EC4" w:rsidR="00663246" w:rsidRPr="00663246" w:rsidRDefault="00663246" w:rsidP="00663246">
      <w:pPr>
        <w:spacing w:after="0" w:line="276" w:lineRule="auto"/>
        <w:ind w:firstLine="720"/>
        <w:jc w:val="both"/>
        <w:rPr>
          <w:rFonts w:ascii="Cambria" w:hAnsi="Cambria"/>
          <w:b/>
          <w:bCs/>
          <w:lang w:val="en-GB"/>
        </w:rPr>
      </w:pPr>
      <w:r w:rsidRPr="00663246">
        <w:rPr>
          <w:rFonts w:ascii="Cambria" w:hAnsi="Cambria"/>
          <w:b/>
          <w:bCs/>
          <w:lang w:val="en-GB"/>
        </w:rPr>
        <w:t xml:space="preserve">3. </w:t>
      </w:r>
      <w:r>
        <w:rPr>
          <w:rFonts w:ascii="Cambria" w:hAnsi="Cambria"/>
          <w:b/>
          <w:bCs/>
          <w:lang w:val="en-GB"/>
        </w:rPr>
        <w:t>Target</w:t>
      </w:r>
      <w:r w:rsidRPr="00663246">
        <w:rPr>
          <w:rFonts w:ascii="Cambria" w:hAnsi="Cambria"/>
          <w:b/>
          <w:bCs/>
          <w:lang w:val="en-GB"/>
        </w:rPr>
        <w:t xml:space="preserve"> customers and value creation logic</w:t>
      </w:r>
    </w:p>
    <w:p w14:paraId="366CBCC0" w14:textId="77777777" w:rsidR="00663246" w:rsidRPr="00663246" w:rsidRDefault="00663246" w:rsidP="00663246">
      <w:pPr>
        <w:spacing w:after="0" w:line="276" w:lineRule="auto"/>
        <w:ind w:firstLine="720"/>
        <w:jc w:val="both"/>
        <w:rPr>
          <w:rFonts w:ascii="Cambria" w:hAnsi="Cambria"/>
          <w:lang w:val="en-GB"/>
        </w:rPr>
      </w:pPr>
      <w:r w:rsidRPr="00663246">
        <w:rPr>
          <w:rFonts w:ascii="Cambria" w:hAnsi="Cambria"/>
          <w:lang w:val="en-GB"/>
        </w:rPr>
        <w:t>The recommended first market is business-to-government and business-to-organisation rather than a consumer market. Lake authorities, water-basin administrations, municipalities, environmental agencies, protected-area administrations and operators responsible for restoration projects have the strongest combination of regulatory responsibility, operational need and purchasing capacity. Environmental engineering companies and laboratories are also attractive partners because the platform can extend their existing services rather than compete directly with them.</w:t>
      </w:r>
    </w:p>
    <w:tbl>
      <w:tblPr>
        <w:tblStyle w:val="TableGrid"/>
        <w:tblW w:w="0" w:type="auto"/>
        <w:jc w:val="center"/>
        <w:tblLook w:val="04A0" w:firstRow="1" w:lastRow="0" w:firstColumn="1" w:lastColumn="0" w:noHBand="0" w:noVBand="1"/>
      </w:tblPr>
      <w:tblGrid>
        <w:gridCol w:w="2312"/>
        <w:gridCol w:w="2307"/>
        <w:gridCol w:w="2230"/>
        <w:gridCol w:w="2167"/>
      </w:tblGrid>
      <w:tr w:rsidR="00663246" w:rsidRPr="00663246" w14:paraId="073DEF17" w14:textId="77777777" w:rsidTr="009C43FB">
        <w:trPr>
          <w:jc w:val="center"/>
        </w:trPr>
        <w:tc>
          <w:tcPr>
            <w:tcW w:w="2312" w:type="dxa"/>
            <w:shd w:val="clear" w:color="auto" w:fill="D9EAD3"/>
            <w:vAlign w:val="center"/>
          </w:tcPr>
          <w:p w14:paraId="0491D783"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b/>
                <w:sz w:val="24"/>
                <w:szCs w:val="24"/>
                <w:lang w:val="en-GB"/>
              </w:rPr>
              <w:lastRenderedPageBreak/>
              <w:t>Segment</w:t>
            </w:r>
          </w:p>
        </w:tc>
        <w:tc>
          <w:tcPr>
            <w:tcW w:w="2307" w:type="dxa"/>
            <w:shd w:val="clear" w:color="auto" w:fill="D9EAD3"/>
            <w:vAlign w:val="center"/>
          </w:tcPr>
          <w:p w14:paraId="6A05742F"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b/>
                <w:sz w:val="24"/>
                <w:szCs w:val="24"/>
                <w:lang w:val="en-GB"/>
              </w:rPr>
              <w:t>Main need</w:t>
            </w:r>
          </w:p>
        </w:tc>
        <w:tc>
          <w:tcPr>
            <w:tcW w:w="2230" w:type="dxa"/>
            <w:shd w:val="clear" w:color="auto" w:fill="D9EAD3"/>
            <w:vAlign w:val="center"/>
          </w:tcPr>
          <w:p w14:paraId="6E4726BB"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b/>
                <w:sz w:val="24"/>
                <w:szCs w:val="24"/>
                <w:lang w:val="en-GB"/>
              </w:rPr>
              <w:t>Role in business model</w:t>
            </w:r>
          </w:p>
        </w:tc>
        <w:tc>
          <w:tcPr>
            <w:tcW w:w="2167" w:type="dxa"/>
            <w:shd w:val="clear" w:color="auto" w:fill="D9EAD3"/>
            <w:vAlign w:val="center"/>
          </w:tcPr>
          <w:p w14:paraId="3AA5D735"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b/>
                <w:sz w:val="24"/>
                <w:szCs w:val="24"/>
                <w:lang w:val="en-GB"/>
              </w:rPr>
              <w:t>Priority</w:t>
            </w:r>
          </w:p>
        </w:tc>
      </w:tr>
      <w:tr w:rsidR="00663246" w:rsidRPr="00663246" w14:paraId="61295FE3" w14:textId="77777777" w:rsidTr="009C43FB">
        <w:trPr>
          <w:jc w:val="center"/>
        </w:trPr>
        <w:tc>
          <w:tcPr>
            <w:tcW w:w="2312" w:type="dxa"/>
            <w:tcMar>
              <w:top w:w="70" w:type="dxa"/>
              <w:left w:w="70" w:type="dxa"/>
              <w:bottom w:w="70" w:type="dxa"/>
              <w:right w:w="70" w:type="dxa"/>
            </w:tcMar>
            <w:vAlign w:val="center"/>
          </w:tcPr>
          <w:p w14:paraId="6E09E8DE"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sz w:val="24"/>
                <w:szCs w:val="24"/>
                <w:lang w:val="en-GB"/>
              </w:rPr>
              <w:t>Lake / basin authorities</w:t>
            </w:r>
          </w:p>
        </w:tc>
        <w:tc>
          <w:tcPr>
            <w:tcW w:w="2307" w:type="dxa"/>
            <w:tcMar>
              <w:top w:w="70" w:type="dxa"/>
              <w:left w:w="70" w:type="dxa"/>
              <w:bottom w:w="70" w:type="dxa"/>
              <w:right w:w="70" w:type="dxa"/>
            </w:tcMar>
            <w:vAlign w:val="center"/>
          </w:tcPr>
          <w:p w14:paraId="0D37909A"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sz w:val="24"/>
                <w:szCs w:val="24"/>
                <w:lang w:val="en-GB"/>
              </w:rPr>
              <w:t>Continuous overview, hotspot identification, evidence for intervention</w:t>
            </w:r>
          </w:p>
        </w:tc>
        <w:tc>
          <w:tcPr>
            <w:tcW w:w="2230" w:type="dxa"/>
            <w:tcMar>
              <w:top w:w="70" w:type="dxa"/>
              <w:left w:w="70" w:type="dxa"/>
              <w:bottom w:w="70" w:type="dxa"/>
              <w:right w:w="70" w:type="dxa"/>
            </w:tcMar>
            <w:vAlign w:val="center"/>
          </w:tcPr>
          <w:p w14:paraId="27B3127A"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sz w:val="24"/>
                <w:szCs w:val="24"/>
                <w:lang w:val="en-GB"/>
              </w:rPr>
              <w:t>Primary paying customer</w:t>
            </w:r>
          </w:p>
        </w:tc>
        <w:tc>
          <w:tcPr>
            <w:tcW w:w="2167" w:type="dxa"/>
            <w:tcMar>
              <w:top w:w="70" w:type="dxa"/>
              <w:left w:w="70" w:type="dxa"/>
              <w:bottom w:w="70" w:type="dxa"/>
              <w:right w:w="70" w:type="dxa"/>
            </w:tcMar>
            <w:vAlign w:val="center"/>
          </w:tcPr>
          <w:p w14:paraId="1BD8A472"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sz w:val="24"/>
                <w:szCs w:val="24"/>
                <w:lang w:val="en-GB"/>
              </w:rPr>
              <w:t>Very high</w:t>
            </w:r>
          </w:p>
        </w:tc>
      </w:tr>
      <w:tr w:rsidR="00663246" w:rsidRPr="00663246" w14:paraId="07D0D858" w14:textId="77777777" w:rsidTr="009C43FB">
        <w:trPr>
          <w:jc w:val="center"/>
        </w:trPr>
        <w:tc>
          <w:tcPr>
            <w:tcW w:w="2312" w:type="dxa"/>
            <w:tcMar>
              <w:top w:w="70" w:type="dxa"/>
              <w:left w:w="70" w:type="dxa"/>
              <w:bottom w:w="70" w:type="dxa"/>
              <w:right w:w="70" w:type="dxa"/>
            </w:tcMar>
            <w:vAlign w:val="center"/>
          </w:tcPr>
          <w:p w14:paraId="0B506355"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sz w:val="24"/>
                <w:szCs w:val="24"/>
                <w:lang w:val="en-GB"/>
              </w:rPr>
              <w:t>Municipalities / protected areas</w:t>
            </w:r>
          </w:p>
        </w:tc>
        <w:tc>
          <w:tcPr>
            <w:tcW w:w="2307" w:type="dxa"/>
            <w:tcMar>
              <w:top w:w="70" w:type="dxa"/>
              <w:left w:w="70" w:type="dxa"/>
              <w:bottom w:w="70" w:type="dxa"/>
              <w:right w:w="70" w:type="dxa"/>
            </w:tcMar>
            <w:vAlign w:val="center"/>
          </w:tcPr>
          <w:p w14:paraId="25FF5B85"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sz w:val="24"/>
                <w:szCs w:val="24"/>
                <w:lang w:val="en-GB"/>
              </w:rPr>
              <w:t>Local environmental risk visibility and reporting</w:t>
            </w:r>
          </w:p>
        </w:tc>
        <w:tc>
          <w:tcPr>
            <w:tcW w:w="2230" w:type="dxa"/>
            <w:tcMar>
              <w:top w:w="70" w:type="dxa"/>
              <w:left w:w="70" w:type="dxa"/>
              <w:bottom w:w="70" w:type="dxa"/>
              <w:right w:w="70" w:type="dxa"/>
            </w:tcMar>
            <w:vAlign w:val="center"/>
          </w:tcPr>
          <w:p w14:paraId="5066B42A"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sz w:val="24"/>
                <w:szCs w:val="24"/>
                <w:lang w:val="en-GB"/>
              </w:rPr>
              <w:t>Paying customer / pilot host</w:t>
            </w:r>
          </w:p>
        </w:tc>
        <w:tc>
          <w:tcPr>
            <w:tcW w:w="2167" w:type="dxa"/>
            <w:tcMar>
              <w:top w:w="70" w:type="dxa"/>
              <w:left w:w="70" w:type="dxa"/>
              <w:bottom w:w="70" w:type="dxa"/>
              <w:right w:w="70" w:type="dxa"/>
            </w:tcMar>
            <w:vAlign w:val="center"/>
          </w:tcPr>
          <w:p w14:paraId="0F1A879A"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sz w:val="24"/>
                <w:szCs w:val="24"/>
                <w:lang w:val="en-GB"/>
              </w:rPr>
              <w:t>High</w:t>
            </w:r>
          </w:p>
        </w:tc>
      </w:tr>
      <w:tr w:rsidR="00663246" w:rsidRPr="00663246" w14:paraId="3D2CB899" w14:textId="77777777" w:rsidTr="009C43FB">
        <w:trPr>
          <w:jc w:val="center"/>
        </w:trPr>
        <w:tc>
          <w:tcPr>
            <w:tcW w:w="2312" w:type="dxa"/>
            <w:tcMar>
              <w:top w:w="70" w:type="dxa"/>
              <w:left w:w="70" w:type="dxa"/>
              <w:bottom w:w="70" w:type="dxa"/>
              <w:right w:w="70" w:type="dxa"/>
            </w:tcMar>
            <w:vAlign w:val="center"/>
          </w:tcPr>
          <w:p w14:paraId="720860B0"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sz w:val="24"/>
                <w:szCs w:val="24"/>
                <w:lang w:val="en-GB"/>
              </w:rPr>
              <w:t>Environmental engineering firms</w:t>
            </w:r>
          </w:p>
        </w:tc>
        <w:tc>
          <w:tcPr>
            <w:tcW w:w="2307" w:type="dxa"/>
            <w:tcMar>
              <w:top w:w="70" w:type="dxa"/>
              <w:left w:w="70" w:type="dxa"/>
              <w:bottom w:w="70" w:type="dxa"/>
              <w:right w:w="70" w:type="dxa"/>
            </w:tcMar>
            <w:vAlign w:val="center"/>
          </w:tcPr>
          <w:p w14:paraId="46722D08"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sz w:val="24"/>
                <w:szCs w:val="24"/>
                <w:lang w:val="en-GB"/>
              </w:rPr>
              <w:t>More data between campaigns and stronger client reporting</w:t>
            </w:r>
          </w:p>
        </w:tc>
        <w:tc>
          <w:tcPr>
            <w:tcW w:w="2230" w:type="dxa"/>
            <w:tcMar>
              <w:top w:w="70" w:type="dxa"/>
              <w:left w:w="70" w:type="dxa"/>
              <w:bottom w:w="70" w:type="dxa"/>
              <w:right w:w="70" w:type="dxa"/>
            </w:tcMar>
            <w:vAlign w:val="center"/>
          </w:tcPr>
          <w:p w14:paraId="253677BB"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sz w:val="24"/>
                <w:szCs w:val="24"/>
                <w:lang w:val="en-GB"/>
              </w:rPr>
              <w:t>Channel partner / reseller</w:t>
            </w:r>
          </w:p>
        </w:tc>
        <w:tc>
          <w:tcPr>
            <w:tcW w:w="2167" w:type="dxa"/>
            <w:tcMar>
              <w:top w:w="70" w:type="dxa"/>
              <w:left w:w="70" w:type="dxa"/>
              <w:bottom w:w="70" w:type="dxa"/>
              <w:right w:w="70" w:type="dxa"/>
            </w:tcMar>
            <w:vAlign w:val="center"/>
          </w:tcPr>
          <w:p w14:paraId="359C0305"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sz w:val="24"/>
                <w:szCs w:val="24"/>
                <w:lang w:val="en-GB"/>
              </w:rPr>
              <w:t>High</w:t>
            </w:r>
          </w:p>
        </w:tc>
      </w:tr>
      <w:tr w:rsidR="00663246" w:rsidRPr="00663246" w14:paraId="7444FE82" w14:textId="77777777" w:rsidTr="009C43FB">
        <w:trPr>
          <w:jc w:val="center"/>
        </w:trPr>
        <w:tc>
          <w:tcPr>
            <w:tcW w:w="2312" w:type="dxa"/>
            <w:tcMar>
              <w:top w:w="70" w:type="dxa"/>
              <w:left w:w="70" w:type="dxa"/>
              <w:bottom w:w="70" w:type="dxa"/>
              <w:right w:w="70" w:type="dxa"/>
            </w:tcMar>
            <w:vAlign w:val="center"/>
          </w:tcPr>
          <w:p w14:paraId="77B2A0FE"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sz w:val="24"/>
                <w:szCs w:val="24"/>
                <w:lang w:val="en-GB"/>
              </w:rPr>
              <w:t>Accredited laboratories</w:t>
            </w:r>
          </w:p>
        </w:tc>
        <w:tc>
          <w:tcPr>
            <w:tcW w:w="2307" w:type="dxa"/>
            <w:tcMar>
              <w:top w:w="70" w:type="dxa"/>
              <w:left w:w="70" w:type="dxa"/>
              <w:bottom w:w="70" w:type="dxa"/>
              <w:right w:w="70" w:type="dxa"/>
            </w:tcMar>
            <w:vAlign w:val="center"/>
          </w:tcPr>
          <w:p w14:paraId="1AD72131"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sz w:val="24"/>
                <w:szCs w:val="24"/>
                <w:lang w:val="en-GB"/>
              </w:rPr>
              <w:t>More targeted sampling and recurring demand for validation tests</w:t>
            </w:r>
          </w:p>
        </w:tc>
        <w:tc>
          <w:tcPr>
            <w:tcW w:w="2230" w:type="dxa"/>
            <w:tcMar>
              <w:top w:w="70" w:type="dxa"/>
              <w:left w:w="70" w:type="dxa"/>
              <w:bottom w:w="70" w:type="dxa"/>
              <w:right w:w="70" w:type="dxa"/>
            </w:tcMar>
            <w:vAlign w:val="center"/>
          </w:tcPr>
          <w:p w14:paraId="4A212473"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sz w:val="24"/>
                <w:szCs w:val="24"/>
                <w:lang w:val="en-GB"/>
              </w:rPr>
              <w:t>Validation and commercial partner</w:t>
            </w:r>
          </w:p>
        </w:tc>
        <w:tc>
          <w:tcPr>
            <w:tcW w:w="2167" w:type="dxa"/>
            <w:tcMar>
              <w:top w:w="70" w:type="dxa"/>
              <w:left w:w="70" w:type="dxa"/>
              <w:bottom w:w="70" w:type="dxa"/>
              <w:right w:w="70" w:type="dxa"/>
            </w:tcMar>
            <w:vAlign w:val="center"/>
          </w:tcPr>
          <w:p w14:paraId="74802CD6"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sz w:val="24"/>
                <w:szCs w:val="24"/>
                <w:lang w:val="en-GB"/>
              </w:rPr>
              <w:t>High</w:t>
            </w:r>
          </w:p>
        </w:tc>
      </w:tr>
      <w:tr w:rsidR="00663246" w:rsidRPr="00663246" w14:paraId="6BA6F546" w14:textId="77777777" w:rsidTr="009C43FB">
        <w:trPr>
          <w:jc w:val="center"/>
        </w:trPr>
        <w:tc>
          <w:tcPr>
            <w:tcW w:w="2312" w:type="dxa"/>
            <w:tcMar>
              <w:top w:w="70" w:type="dxa"/>
              <w:left w:w="70" w:type="dxa"/>
              <w:bottom w:w="70" w:type="dxa"/>
              <w:right w:w="70" w:type="dxa"/>
            </w:tcMar>
            <w:vAlign w:val="center"/>
          </w:tcPr>
          <w:p w14:paraId="15E4A94E"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sz w:val="24"/>
                <w:szCs w:val="24"/>
                <w:lang w:val="en-GB"/>
              </w:rPr>
              <w:t>Research organisations / NGOs</w:t>
            </w:r>
          </w:p>
        </w:tc>
        <w:tc>
          <w:tcPr>
            <w:tcW w:w="2307" w:type="dxa"/>
            <w:tcMar>
              <w:top w:w="70" w:type="dxa"/>
              <w:left w:w="70" w:type="dxa"/>
              <w:bottom w:w="70" w:type="dxa"/>
              <w:right w:w="70" w:type="dxa"/>
            </w:tcMar>
            <w:vAlign w:val="center"/>
          </w:tcPr>
          <w:p w14:paraId="003FD45B"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sz w:val="24"/>
                <w:szCs w:val="24"/>
                <w:lang w:val="en-GB"/>
              </w:rPr>
              <w:t>High-resolution datasets and project monitoring</w:t>
            </w:r>
          </w:p>
        </w:tc>
        <w:tc>
          <w:tcPr>
            <w:tcW w:w="2230" w:type="dxa"/>
            <w:tcMar>
              <w:top w:w="70" w:type="dxa"/>
              <w:left w:w="70" w:type="dxa"/>
              <w:bottom w:w="70" w:type="dxa"/>
              <w:right w:w="70" w:type="dxa"/>
            </w:tcMar>
            <w:vAlign w:val="center"/>
          </w:tcPr>
          <w:p w14:paraId="2BC25152"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sz w:val="24"/>
                <w:szCs w:val="24"/>
                <w:lang w:val="en-GB"/>
              </w:rPr>
              <w:t>Project customer / user</w:t>
            </w:r>
          </w:p>
        </w:tc>
        <w:tc>
          <w:tcPr>
            <w:tcW w:w="2167" w:type="dxa"/>
            <w:tcMar>
              <w:top w:w="70" w:type="dxa"/>
              <w:left w:w="70" w:type="dxa"/>
              <w:bottom w:w="70" w:type="dxa"/>
              <w:right w:w="70" w:type="dxa"/>
            </w:tcMar>
            <w:vAlign w:val="center"/>
          </w:tcPr>
          <w:p w14:paraId="58B67B59"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sz w:val="24"/>
                <w:szCs w:val="24"/>
                <w:lang w:val="en-GB"/>
              </w:rPr>
              <w:t>Medium</w:t>
            </w:r>
          </w:p>
        </w:tc>
      </w:tr>
    </w:tbl>
    <w:p w14:paraId="28B96BD3" w14:textId="07B87AC7" w:rsidR="00663246" w:rsidRDefault="009C43FB" w:rsidP="009C43FB">
      <w:pPr>
        <w:pStyle w:val="Heading1"/>
        <w:spacing w:before="0" w:after="0" w:line="276" w:lineRule="auto"/>
        <w:jc w:val="center"/>
        <w:rPr>
          <w:rFonts w:ascii="Cambria" w:hAnsi="Cambria"/>
          <w:sz w:val="24"/>
          <w:szCs w:val="24"/>
          <w:lang w:val="en-GB"/>
        </w:rPr>
      </w:pPr>
      <w:r w:rsidRPr="009C43FB">
        <w:rPr>
          <w:rFonts w:ascii="Cambria" w:hAnsi="Cambria"/>
          <w:sz w:val="24"/>
          <w:szCs w:val="24"/>
          <w:lang w:val="en-GB"/>
        </w:rPr>
        <w:t>Source: developed by the business coach</w:t>
      </w:r>
    </w:p>
    <w:p w14:paraId="562BF914" w14:textId="77777777" w:rsidR="009C43FB" w:rsidRPr="009C43FB" w:rsidRDefault="009C43FB" w:rsidP="009C43FB">
      <w:pPr>
        <w:rPr>
          <w:lang w:val="en-GB"/>
        </w:rPr>
      </w:pPr>
    </w:p>
    <w:p w14:paraId="77D2BD63" w14:textId="442D2B28" w:rsidR="00663246" w:rsidRPr="00663246" w:rsidRDefault="00663246" w:rsidP="00663246">
      <w:pPr>
        <w:pStyle w:val="Heading1"/>
        <w:spacing w:before="0" w:after="0" w:line="276" w:lineRule="auto"/>
        <w:ind w:firstLine="720"/>
        <w:jc w:val="both"/>
        <w:rPr>
          <w:rFonts w:ascii="Cambria" w:hAnsi="Cambria"/>
          <w:b/>
          <w:bCs/>
          <w:color w:val="auto"/>
          <w:sz w:val="24"/>
          <w:szCs w:val="24"/>
          <w:lang w:val="en-GB"/>
        </w:rPr>
      </w:pPr>
      <w:r w:rsidRPr="00663246">
        <w:rPr>
          <w:rFonts w:ascii="Cambria" w:hAnsi="Cambria"/>
          <w:b/>
          <w:bCs/>
          <w:color w:val="auto"/>
          <w:sz w:val="24"/>
          <w:szCs w:val="24"/>
          <w:lang w:val="en-GB"/>
        </w:rPr>
        <w:t>4. Differentiation strategy</w:t>
      </w:r>
    </w:p>
    <w:p w14:paraId="6AB87B91" w14:textId="1D77F0BF" w:rsidR="00663246" w:rsidRPr="00663246" w:rsidRDefault="00663246" w:rsidP="00663246">
      <w:pPr>
        <w:spacing w:after="0" w:line="276" w:lineRule="auto"/>
        <w:ind w:firstLine="720"/>
        <w:jc w:val="both"/>
        <w:rPr>
          <w:rFonts w:ascii="Cambria" w:hAnsi="Cambria"/>
          <w:lang w:val="en-GB"/>
        </w:rPr>
      </w:pPr>
      <w:r w:rsidRPr="00663246">
        <w:rPr>
          <w:rFonts w:ascii="Cambria" w:hAnsi="Cambria"/>
          <w:lang w:val="en-GB"/>
        </w:rPr>
        <w:t xml:space="preserve">The venture should differentiate itself from conventional laboratory testing, generic IoT platforms and scientific dashboards through integration. Its defensible value is the combination of field continuity, laboratory credibility and AI-supported interpretation. The proposition becomes stronger when the customer receives a complete monitoring workflow: deployment, data quality control, geospatial visualisation, anomaly alerts, periodic validation and decision-ready reporting. </w:t>
      </w:r>
    </w:p>
    <w:p w14:paraId="62FCDF03" w14:textId="77777777" w:rsidR="00663246" w:rsidRDefault="00663246" w:rsidP="00663246">
      <w:pPr>
        <w:spacing w:after="0" w:line="276" w:lineRule="auto"/>
        <w:jc w:val="both"/>
        <w:rPr>
          <w:rFonts w:ascii="Cambria" w:hAnsi="Cambria"/>
          <w:lang w:val="en-GB"/>
        </w:rPr>
      </w:pPr>
    </w:p>
    <w:p w14:paraId="617729C1" w14:textId="63F3DD26" w:rsidR="00663246" w:rsidRPr="00663246" w:rsidRDefault="00663246" w:rsidP="00663246">
      <w:pPr>
        <w:spacing w:after="0" w:line="276" w:lineRule="auto"/>
        <w:ind w:firstLine="720"/>
        <w:jc w:val="both"/>
        <w:rPr>
          <w:rFonts w:ascii="Cambria" w:hAnsi="Cambria"/>
          <w:b/>
          <w:bCs/>
          <w:lang w:val="en-GB"/>
        </w:rPr>
      </w:pPr>
      <w:r w:rsidRPr="00663246">
        <w:rPr>
          <w:rFonts w:ascii="Cambria" w:hAnsi="Cambria"/>
          <w:b/>
          <w:bCs/>
          <w:lang w:val="en-GB"/>
        </w:rPr>
        <w:t>5. Revenue model assessment</w:t>
      </w:r>
    </w:p>
    <w:p w14:paraId="3389AF99" w14:textId="77777777" w:rsidR="00663246" w:rsidRDefault="00663246" w:rsidP="00663246">
      <w:pPr>
        <w:spacing w:after="0" w:line="276" w:lineRule="auto"/>
        <w:ind w:firstLine="720"/>
        <w:jc w:val="both"/>
        <w:rPr>
          <w:rFonts w:ascii="Cambria" w:hAnsi="Cambria"/>
          <w:lang w:val="en-GB"/>
        </w:rPr>
      </w:pPr>
      <w:r w:rsidRPr="00663246">
        <w:rPr>
          <w:rFonts w:ascii="Cambria" w:hAnsi="Cambria"/>
          <w:lang w:val="en-GB"/>
        </w:rPr>
        <w:t>Four revenue mechanisms were considered: monitoring-as-a-service, institutional subscriptions, project-based contracts and partnerships with laboratories or environmental engineering companies. They are not mutually exclusive. The strongest commercial logic is a hybrid model in which recurring service revenue forms the core, while projects and partnerships accelerate market entry and reduce customer acquisition costs.</w:t>
      </w:r>
    </w:p>
    <w:p w14:paraId="5A28706C" w14:textId="77777777" w:rsidR="00663246" w:rsidRDefault="00663246" w:rsidP="00663246">
      <w:pPr>
        <w:spacing w:after="0" w:line="276" w:lineRule="auto"/>
        <w:ind w:firstLine="720"/>
        <w:jc w:val="both"/>
        <w:rPr>
          <w:rFonts w:ascii="Cambria" w:hAnsi="Cambria"/>
          <w:lang w:val="en-GB"/>
        </w:rPr>
      </w:pPr>
    </w:p>
    <w:p w14:paraId="7A72C7C6" w14:textId="77777777" w:rsidR="00663246" w:rsidRPr="00663246" w:rsidRDefault="00663246" w:rsidP="00663246">
      <w:pPr>
        <w:spacing w:after="0" w:line="276" w:lineRule="auto"/>
        <w:ind w:firstLine="720"/>
        <w:jc w:val="both"/>
        <w:rPr>
          <w:rFonts w:ascii="Cambria" w:hAnsi="Cambria"/>
          <w:lang w:val="en-GB"/>
        </w:rPr>
      </w:pPr>
    </w:p>
    <w:tbl>
      <w:tblPr>
        <w:tblStyle w:val="TableGrid"/>
        <w:tblW w:w="0" w:type="auto"/>
        <w:jc w:val="center"/>
        <w:tblLook w:val="04A0" w:firstRow="1" w:lastRow="0" w:firstColumn="1" w:lastColumn="0" w:noHBand="0" w:noVBand="1"/>
      </w:tblPr>
      <w:tblGrid>
        <w:gridCol w:w="1768"/>
        <w:gridCol w:w="1806"/>
        <w:gridCol w:w="1790"/>
        <w:gridCol w:w="1794"/>
        <w:gridCol w:w="1858"/>
      </w:tblGrid>
      <w:tr w:rsidR="00663246" w:rsidRPr="00663246" w14:paraId="7B825794" w14:textId="77777777" w:rsidTr="009C43FB">
        <w:trPr>
          <w:jc w:val="center"/>
        </w:trPr>
        <w:tc>
          <w:tcPr>
            <w:tcW w:w="1768" w:type="dxa"/>
            <w:shd w:val="clear" w:color="auto" w:fill="D9EAD3"/>
            <w:vAlign w:val="center"/>
          </w:tcPr>
          <w:p w14:paraId="44225C4B"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b/>
                <w:sz w:val="24"/>
                <w:szCs w:val="24"/>
                <w:lang w:val="en-GB"/>
              </w:rPr>
              <w:lastRenderedPageBreak/>
              <w:t>Model</w:t>
            </w:r>
          </w:p>
        </w:tc>
        <w:tc>
          <w:tcPr>
            <w:tcW w:w="1806" w:type="dxa"/>
            <w:shd w:val="clear" w:color="auto" w:fill="D9EAD3"/>
            <w:vAlign w:val="center"/>
          </w:tcPr>
          <w:p w14:paraId="753B8FAC"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b/>
                <w:sz w:val="24"/>
                <w:szCs w:val="24"/>
                <w:lang w:val="en-GB"/>
              </w:rPr>
              <w:t>Strengths</w:t>
            </w:r>
          </w:p>
        </w:tc>
        <w:tc>
          <w:tcPr>
            <w:tcW w:w="1790" w:type="dxa"/>
            <w:shd w:val="clear" w:color="auto" w:fill="D9EAD3"/>
            <w:vAlign w:val="center"/>
          </w:tcPr>
          <w:p w14:paraId="09039EF1"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b/>
                <w:sz w:val="24"/>
                <w:szCs w:val="24"/>
                <w:lang w:val="en-GB"/>
              </w:rPr>
              <w:t>Limitations</w:t>
            </w:r>
          </w:p>
        </w:tc>
        <w:tc>
          <w:tcPr>
            <w:tcW w:w="1794" w:type="dxa"/>
            <w:shd w:val="clear" w:color="auto" w:fill="D9EAD3"/>
            <w:vAlign w:val="center"/>
          </w:tcPr>
          <w:p w14:paraId="6AF534ED"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b/>
                <w:sz w:val="24"/>
                <w:szCs w:val="24"/>
                <w:lang w:val="en-GB"/>
              </w:rPr>
              <w:t>Best use</w:t>
            </w:r>
          </w:p>
        </w:tc>
        <w:tc>
          <w:tcPr>
            <w:tcW w:w="1858" w:type="dxa"/>
            <w:shd w:val="clear" w:color="auto" w:fill="D9EAD3"/>
            <w:vAlign w:val="center"/>
          </w:tcPr>
          <w:p w14:paraId="5BFC5CD6"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b/>
                <w:sz w:val="24"/>
                <w:szCs w:val="24"/>
                <w:lang w:val="en-GB"/>
              </w:rPr>
              <w:t>Coaching assessment</w:t>
            </w:r>
          </w:p>
        </w:tc>
      </w:tr>
      <w:tr w:rsidR="00663246" w:rsidRPr="00663246" w14:paraId="6C615488" w14:textId="77777777" w:rsidTr="009C43FB">
        <w:trPr>
          <w:jc w:val="center"/>
        </w:trPr>
        <w:tc>
          <w:tcPr>
            <w:tcW w:w="1768" w:type="dxa"/>
            <w:tcMar>
              <w:top w:w="55" w:type="dxa"/>
              <w:left w:w="55" w:type="dxa"/>
              <w:bottom w:w="55" w:type="dxa"/>
              <w:right w:w="55" w:type="dxa"/>
            </w:tcMar>
            <w:vAlign w:val="center"/>
          </w:tcPr>
          <w:p w14:paraId="5266C0CD"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sz w:val="24"/>
                <w:szCs w:val="24"/>
                <w:lang w:val="en-GB"/>
              </w:rPr>
              <w:t>Monitoring-as-a-Service</w:t>
            </w:r>
          </w:p>
        </w:tc>
        <w:tc>
          <w:tcPr>
            <w:tcW w:w="1806" w:type="dxa"/>
            <w:tcMar>
              <w:top w:w="55" w:type="dxa"/>
              <w:left w:w="55" w:type="dxa"/>
              <w:bottom w:w="55" w:type="dxa"/>
              <w:right w:w="55" w:type="dxa"/>
            </w:tcMar>
            <w:vAlign w:val="center"/>
          </w:tcPr>
          <w:p w14:paraId="4AFF5203"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sz w:val="24"/>
                <w:szCs w:val="24"/>
                <w:lang w:val="en-GB"/>
              </w:rPr>
              <w:t>Recurring income; outcome-oriented; bundles equipment, maintenance, analytics and reporting</w:t>
            </w:r>
          </w:p>
        </w:tc>
        <w:tc>
          <w:tcPr>
            <w:tcW w:w="1790" w:type="dxa"/>
            <w:tcMar>
              <w:top w:w="55" w:type="dxa"/>
              <w:left w:w="55" w:type="dxa"/>
              <w:bottom w:w="55" w:type="dxa"/>
              <w:right w:w="55" w:type="dxa"/>
            </w:tcMar>
            <w:vAlign w:val="center"/>
          </w:tcPr>
          <w:p w14:paraId="3FFA1941"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sz w:val="24"/>
                <w:szCs w:val="24"/>
                <w:lang w:val="en-GB"/>
              </w:rPr>
              <w:t>Requires operational capacity and service-level discipline</w:t>
            </w:r>
          </w:p>
        </w:tc>
        <w:tc>
          <w:tcPr>
            <w:tcW w:w="1794" w:type="dxa"/>
            <w:tcMar>
              <w:top w:w="55" w:type="dxa"/>
              <w:left w:w="55" w:type="dxa"/>
              <w:bottom w:w="55" w:type="dxa"/>
              <w:right w:w="55" w:type="dxa"/>
            </w:tcMar>
            <w:vAlign w:val="center"/>
          </w:tcPr>
          <w:p w14:paraId="78A7961F"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sz w:val="24"/>
                <w:szCs w:val="24"/>
                <w:lang w:val="en-GB"/>
              </w:rPr>
              <w:t>Core offer for lakes with continuous monitoring needs</w:t>
            </w:r>
          </w:p>
        </w:tc>
        <w:tc>
          <w:tcPr>
            <w:tcW w:w="1858" w:type="dxa"/>
            <w:tcMar>
              <w:top w:w="55" w:type="dxa"/>
              <w:left w:w="55" w:type="dxa"/>
              <w:bottom w:w="55" w:type="dxa"/>
              <w:right w:w="55" w:type="dxa"/>
            </w:tcMar>
            <w:vAlign w:val="center"/>
          </w:tcPr>
          <w:p w14:paraId="5037165A"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sz w:val="24"/>
                <w:szCs w:val="24"/>
                <w:lang w:val="en-GB"/>
              </w:rPr>
              <w:t>Recommended as primary model</w:t>
            </w:r>
          </w:p>
        </w:tc>
      </w:tr>
      <w:tr w:rsidR="00663246" w:rsidRPr="00663246" w14:paraId="7DBE9890" w14:textId="77777777" w:rsidTr="009C43FB">
        <w:trPr>
          <w:jc w:val="center"/>
        </w:trPr>
        <w:tc>
          <w:tcPr>
            <w:tcW w:w="1768" w:type="dxa"/>
            <w:tcMar>
              <w:top w:w="55" w:type="dxa"/>
              <w:left w:w="55" w:type="dxa"/>
              <w:bottom w:w="55" w:type="dxa"/>
              <w:right w:w="55" w:type="dxa"/>
            </w:tcMar>
            <w:vAlign w:val="center"/>
          </w:tcPr>
          <w:p w14:paraId="6CF4DD70"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sz w:val="24"/>
                <w:szCs w:val="24"/>
                <w:lang w:val="en-GB"/>
              </w:rPr>
              <w:t>Institutional subscription</w:t>
            </w:r>
          </w:p>
        </w:tc>
        <w:tc>
          <w:tcPr>
            <w:tcW w:w="1806" w:type="dxa"/>
            <w:tcMar>
              <w:top w:w="55" w:type="dxa"/>
              <w:left w:w="55" w:type="dxa"/>
              <w:bottom w:w="55" w:type="dxa"/>
              <w:right w:w="55" w:type="dxa"/>
            </w:tcMar>
            <w:vAlign w:val="center"/>
          </w:tcPr>
          <w:p w14:paraId="08E01198"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sz w:val="24"/>
                <w:szCs w:val="24"/>
                <w:lang w:val="en-GB"/>
              </w:rPr>
              <w:t>Predictable annual revenue; scalable software layer; easier renewal once embedded</w:t>
            </w:r>
          </w:p>
        </w:tc>
        <w:tc>
          <w:tcPr>
            <w:tcW w:w="1790" w:type="dxa"/>
            <w:tcMar>
              <w:top w:w="55" w:type="dxa"/>
              <w:left w:w="55" w:type="dxa"/>
              <w:bottom w:w="55" w:type="dxa"/>
              <w:right w:w="55" w:type="dxa"/>
            </w:tcMar>
            <w:vAlign w:val="center"/>
          </w:tcPr>
          <w:p w14:paraId="170FAA18"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sz w:val="24"/>
                <w:szCs w:val="24"/>
                <w:lang w:val="en-GB"/>
              </w:rPr>
              <w:t>Harder to justify before data quality and value are proven</w:t>
            </w:r>
          </w:p>
        </w:tc>
        <w:tc>
          <w:tcPr>
            <w:tcW w:w="1794" w:type="dxa"/>
            <w:tcMar>
              <w:top w:w="55" w:type="dxa"/>
              <w:left w:w="55" w:type="dxa"/>
              <w:bottom w:w="55" w:type="dxa"/>
              <w:right w:w="55" w:type="dxa"/>
            </w:tcMar>
            <w:vAlign w:val="center"/>
          </w:tcPr>
          <w:p w14:paraId="4EFD2532"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sz w:val="24"/>
                <w:szCs w:val="24"/>
                <w:lang w:val="en-GB"/>
              </w:rPr>
              <w:t>Dashboard, alerts, reporting and multi-user access after pilot</w:t>
            </w:r>
          </w:p>
        </w:tc>
        <w:tc>
          <w:tcPr>
            <w:tcW w:w="1858" w:type="dxa"/>
            <w:tcMar>
              <w:top w:w="55" w:type="dxa"/>
              <w:left w:w="55" w:type="dxa"/>
              <w:bottom w:w="55" w:type="dxa"/>
              <w:right w:w="55" w:type="dxa"/>
            </w:tcMar>
            <w:vAlign w:val="center"/>
          </w:tcPr>
          <w:p w14:paraId="6088DE22"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sz w:val="24"/>
                <w:szCs w:val="24"/>
                <w:lang w:val="en-GB"/>
              </w:rPr>
              <w:t>Recommended as recurring digital component</w:t>
            </w:r>
          </w:p>
        </w:tc>
      </w:tr>
      <w:tr w:rsidR="00663246" w:rsidRPr="00663246" w14:paraId="372500D3" w14:textId="77777777" w:rsidTr="009C43FB">
        <w:trPr>
          <w:jc w:val="center"/>
        </w:trPr>
        <w:tc>
          <w:tcPr>
            <w:tcW w:w="1768" w:type="dxa"/>
            <w:tcMar>
              <w:top w:w="55" w:type="dxa"/>
              <w:left w:w="55" w:type="dxa"/>
              <w:bottom w:w="55" w:type="dxa"/>
              <w:right w:w="55" w:type="dxa"/>
            </w:tcMar>
            <w:vAlign w:val="center"/>
          </w:tcPr>
          <w:p w14:paraId="13EFC0D4"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sz w:val="24"/>
                <w:szCs w:val="24"/>
                <w:lang w:val="en-GB"/>
              </w:rPr>
              <w:t>Project-based contracts</w:t>
            </w:r>
          </w:p>
        </w:tc>
        <w:tc>
          <w:tcPr>
            <w:tcW w:w="1806" w:type="dxa"/>
            <w:tcMar>
              <w:top w:w="55" w:type="dxa"/>
              <w:left w:w="55" w:type="dxa"/>
              <w:bottom w:w="55" w:type="dxa"/>
              <w:right w:w="55" w:type="dxa"/>
            </w:tcMar>
            <w:vAlign w:val="center"/>
          </w:tcPr>
          <w:p w14:paraId="6FC549DF"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sz w:val="24"/>
                <w:szCs w:val="24"/>
                <w:lang w:val="en-GB"/>
              </w:rPr>
              <w:t>Easy fit with restoration projects, grants and public procurement; useful for pilots</w:t>
            </w:r>
          </w:p>
        </w:tc>
        <w:tc>
          <w:tcPr>
            <w:tcW w:w="1790" w:type="dxa"/>
            <w:tcMar>
              <w:top w:w="55" w:type="dxa"/>
              <w:left w:w="55" w:type="dxa"/>
              <w:bottom w:w="55" w:type="dxa"/>
              <w:right w:w="55" w:type="dxa"/>
            </w:tcMar>
            <w:vAlign w:val="center"/>
          </w:tcPr>
          <w:p w14:paraId="7EAFED70"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sz w:val="24"/>
                <w:szCs w:val="24"/>
                <w:lang w:val="en-GB"/>
              </w:rPr>
              <w:t>Revenue can be irregular and tied to project cycles</w:t>
            </w:r>
          </w:p>
        </w:tc>
        <w:tc>
          <w:tcPr>
            <w:tcW w:w="1794" w:type="dxa"/>
            <w:tcMar>
              <w:top w:w="55" w:type="dxa"/>
              <w:left w:w="55" w:type="dxa"/>
              <w:bottom w:w="55" w:type="dxa"/>
              <w:right w:w="55" w:type="dxa"/>
            </w:tcMar>
            <w:vAlign w:val="center"/>
          </w:tcPr>
          <w:p w14:paraId="3E34E496"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sz w:val="24"/>
                <w:szCs w:val="24"/>
                <w:lang w:val="en-GB"/>
              </w:rPr>
              <w:t>Initial deployments, baseline studies, remediation monitoring</w:t>
            </w:r>
          </w:p>
        </w:tc>
        <w:tc>
          <w:tcPr>
            <w:tcW w:w="1858" w:type="dxa"/>
            <w:tcMar>
              <w:top w:w="55" w:type="dxa"/>
              <w:left w:w="55" w:type="dxa"/>
              <w:bottom w:w="55" w:type="dxa"/>
              <w:right w:w="55" w:type="dxa"/>
            </w:tcMar>
            <w:vAlign w:val="center"/>
          </w:tcPr>
          <w:p w14:paraId="0E3234EC"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sz w:val="24"/>
                <w:szCs w:val="24"/>
                <w:lang w:val="en-GB"/>
              </w:rPr>
              <w:t>Recommended for market entry</w:t>
            </w:r>
          </w:p>
        </w:tc>
      </w:tr>
      <w:tr w:rsidR="00663246" w:rsidRPr="00663246" w14:paraId="084EF234" w14:textId="77777777" w:rsidTr="009C43FB">
        <w:trPr>
          <w:jc w:val="center"/>
        </w:trPr>
        <w:tc>
          <w:tcPr>
            <w:tcW w:w="1768" w:type="dxa"/>
            <w:tcMar>
              <w:top w:w="55" w:type="dxa"/>
              <w:left w:w="55" w:type="dxa"/>
              <w:bottom w:w="55" w:type="dxa"/>
              <w:right w:w="55" w:type="dxa"/>
            </w:tcMar>
            <w:vAlign w:val="center"/>
          </w:tcPr>
          <w:p w14:paraId="219D763F"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sz w:val="24"/>
                <w:szCs w:val="24"/>
                <w:lang w:val="en-GB"/>
              </w:rPr>
              <w:t>Laboratory / engineering partnerships</w:t>
            </w:r>
          </w:p>
        </w:tc>
        <w:tc>
          <w:tcPr>
            <w:tcW w:w="1806" w:type="dxa"/>
            <w:tcMar>
              <w:top w:w="55" w:type="dxa"/>
              <w:left w:w="55" w:type="dxa"/>
              <w:bottom w:w="55" w:type="dxa"/>
              <w:right w:w="55" w:type="dxa"/>
            </w:tcMar>
            <w:vAlign w:val="center"/>
          </w:tcPr>
          <w:p w14:paraId="30CE0F54"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sz w:val="24"/>
                <w:szCs w:val="24"/>
                <w:lang w:val="en-GB"/>
              </w:rPr>
              <w:t>Builds credibility; access to clients; complements existing services; lowers sales effort</w:t>
            </w:r>
          </w:p>
        </w:tc>
        <w:tc>
          <w:tcPr>
            <w:tcW w:w="1790" w:type="dxa"/>
            <w:tcMar>
              <w:top w:w="55" w:type="dxa"/>
              <w:left w:w="55" w:type="dxa"/>
              <w:bottom w:w="55" w:type="dxa"/>
              <w:right w:w="55" w:type="dxa"/>
            </w:tcMar>
            <w:vAlign w:val="center"/>
          </w:tcPr>
          <w:p w14:paraId="6C2EC515"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sz w:val="24"/>
                <w:szCs w:val="24"/>
                <w:lang w:val="en-GB"/>
              </w:rPr>
              <w:t>Revenue share and dependence on partners; less control of customer relationship</w:t>
            </w:r>
          </w:p>
        </w:tc>
        <w:tc>
          <w:tcPr>
            <w:tcW w:w="1794" w:type="dxa"/>
            <w:tcMar>
              <w:top w:w="55" w:type="dxa"/>
              <w:left w:w="55" w:type="dxa"/>
              <w:bottom w:w="55" w:type="dxa"/>
              <w:right w:w="55" w:type="dxa"/>
            </w:tcMar>
            <w:vAlign w:val="center"/>
          </w:tcPr>
          <w:p w14:paraId="594B9FFA"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sz w:val="24"/>
                <w:szCs w:val="24"/>
                <w:lang w:val="en-GB"/>
              </w:rPr>
              <w:t>Bundled sampling + analytics packages and channel sales</w:t>
            </w:r>
          </w:p>
        </w:tc>
        <w:tc>
          <w:tcPr>
            <w:tcW w:w="1858" w:type="dxa"/>
            <w:tcMar>
              <w:top w:w="55" w:type="dxa"/>
              <w:left w:w="55" w:type="dxa"/>
              <w:bottom w:w="55" w:type="dxa"/>
              <w:right w:w="55" w:type="dxa"/>
            </w:tcMar>
            <w:vAlign w:val="center"/>
          </w:tcPr>
          <w:p w14:paraId="454522A5" w14:textId="77777777" w:rsidR="00663246" w:rsidRPr="00663246" w:rsidRDefault="00663246" w:rsidP="00663246">
            <w:pPr>
              <w:spacing w:line="276" w:lineRule="auto"/>
              <w:jc w:val="center"/>
              <w:rPr>
                <w:rFonts w:ascii="Cambria" w:hAnsi="Cambria"/>
                <w:sz w:val="24"/>
                <w:szCs w:val="24"/>
                <w:lang w:val="en-GB"/>
              </w:rPr>
            </w:pPr>
            <w:r w:rsidRPr="00663246">
              <w:rPr>
                <w:rFonts w:ascii="Cambria" w:eastAsia="Times New Roman" w:hAnsi="Cambria"/>
                <w:sz w:val="24"/>
                <w:szCs w:val="24"/>
                <w:lang w:val="en-GB"/>
              </w:rPr>
              <w:t>Strong accelerator and validation route</w:t>
            </w:r>
          </w:p>
        </w:tc>
      </w:tr>
    </w:tbl>
    <w:p w14:paraId="2A6B565B" w14:textId="47A7BF3A" w:rsidR="00663246" w:rsidRDefault="009C43FB" w:rsidP="009C43FB">
      <w:pPr>
        <w:pStyle w:val="Heading1"/>
        <w:spacing w:before="0" w:after="0" w:line="276" w:lineRule="auto"/>
        <w:jc w:val="center"/>
        <w:rPr>
          <w:rFonts w:ascii="Cambria" w:hAnsi="Cambria"/>
          <w:sz w:val="24"/>
          <w:szCs w:val="24"/>
          <w:lang w:val="en-GB"/>
        </w:rPr>
      </w:pPr>
      <w:r w:rsidRPr="009C43FB">
        <w:rPr>
          <w:rFonts w:ascii="Cambria" w:hAnsi="Cambria"/>
          <w:sz w:val="24"/>
          <w:szCs w:val="24"/>
          <w:lang w:val="en-GB"/>
        </w:rPr>
        <w:t>Source: developed by the business coach</w:t>
      </w:r>
    </w:p>
    <w:p w14:paraId="0AE506B0" w14:textId="77777777" w:rsidR="009C43FB" w:rsidRPr="009C43FB" w:rsidRDefault="009C43FB" w:rsidP="009C43FB">
      <w:pPr>
        <w:rPr>
          <w:lang w:val="en-GB"/>
        </w:rPr>
      </w:pPr>
    </w:p>
    <w:p w14:paraId="57AE7BB2" w14:textId="05BB72A5" w:rsidR="00663246" w:rsidRPr="009C43FB" w:rsidRDefault="00663246" w:rsidP="00663246">
      <w:pPr>
        <w:pStyle w:val="Heading1"/>
        <w:spacing w:before="0" w:after="0" w:line="276" w:lineRule="auto"/>
        <w:ind w:firstLine="720"/>
        <w:jc w:val="both"/>
        <w:rPr>
          <w:rFonts w:ascii="Cambria" w:hAnsi="Cambria"/>
          <w:b/>
          <w:bCs/>
          <w:color w:val="auto"/>
          <w:sz w:val="24"/>
          <w:szCs w:val="24"/>
          <w:lang w:val="en-GB"/>
        </w:rPr>
      </w:pPr>
      <w:r w:rsidRPr="009C43FB">
        <w:rPr>
          <w:rFonts w:ascii="Cambria" w:hAnsi="Cambria"/>
          <w:b/>
          <w:bCs/>
          <w:color w:val="auto"/>
          <w:sz w:val="24"/>
          <w:szCs w:val="24"/>
          <w:lang w:val="en-GB"/>
        </w:rPr>
        <w:t>6. Recommended commercial architecture</w:t>
      </w:r>
    </w:p>
    <w:p w14:paraId="5BCC4E74" w14:textId="79E8F6A1" w:rsidR="00663246" w:rsidRPr="00663246" w:rsidRDefault="00663246" w:rsidP="00663246">
      <w:pPr>
        <w:spacing w:after="0" w:line="276" w:lineRule="auto"/>
        <w:ind w:firstLine="720"/>
        <w:jc w:val="both"/>
        <w:rPr>
          <w:rFonts w:ascii="Cambria" w:hAnsi="Cambria"/>
          <w:lang w:val="en-GB"/>
        </w:rPr>
      </w:pPr>
      <w:r w:rsidRPr="00663246">
        <w:rPr>
          <w:rFonts w:ascii="Cambria" w:hAnsi="Cambria"/>
          <w:lang w:val="en-GB"/>
        </w:rPr>
        <w:t>The recommended model is a hybrid “Monitoring Intelligence as a Service” offer. The customer pays an implementation fee for site assessment, installation and baseline configuration, followed by a recurring annual or monthly service fee. The recurring fee covers platform access, sensor data integration, routine maintenance, AI analytics, alerts, map-based dashboards and scheduled management reports. Laboratory tests are either included as a defined allowance or billed as pass-through/partner services depending on the sampling plan.</w:t>
      </w:r>
    </w:p>
    <w:p w14:paraId="188AC046" w14:textId="77777777" w:rsidR="00663246" w:rsidRDefault="00663246" w:rsidP="00663246">
      <w:pPr>
        <w:spacing w:after="0" w:line="276" w:lineRule="auto"/>
        <w:jc w:val="both"/>
        <w:rPr>
          <w:rFonts w:ascii="Cambria" w:hAnsi="Cambria"/>
          <w:lang w:val="en-GB"/>
        </w:rPr>
      </w:pPr>
    </w:p>
    <w:p w14:paraId="59753A0E" w14:textId="77777777" w:rsidR="00663246" w:rsidRDefault="00663246" w:rsidP="00663246">
      <w:pPr>
        <w:spacing w:after="0" w:line="276" w:lineRule="auto"/>
        <w:jc w:val="both"/>
        <w:rPr>
          <w:rFonts w:ascii="Cambria" w:hAnsi="Cambria"/>
          <w:lang w:val="en-GB"/>
        </w:rPr>
      </w:pPr>
    </w:p>
    <w:p w14:paraId="47EA9C78" w14:textId="1DFEF7CD" w:rsidR="00663246" w:rsidRPr="00663246" w:rsidRDefault="00663246" w:rsidP="00663246">
      <w:pPr>
        <w:spacing w:after="0" w:line="276" w:lineRule="auto"/>
        <w:ind w:firstLine="720"/>
        <w:jc w:val="both"/>
        <w:rPr>
          <w:rFonts w:ascii="Cambria" w:hAnsi="Cambria"/>
          <w:lang w:val="en-GB"/>
        </w:rPr>
      </w:pPr>
      <w:r w:rsidRPr="00663246">
        <w:rPr>
          <w:rFonts w:ascii="Cambria" w:hAnsi="Cambria"/>
          <w:lang w:val="en-GB"/>
        </w:rPr>
        <w:t>A three-tier commercial structure would make the offer easier to sell. A Pilot package could cover one lake zone and a limited number of monitoring points for a fixed period, with a baseline assessment and final decision report. A Standard annual package could add continuous monitoring, recurring analytics, alerts and periodic laboratory validation. A Multi-site or Authority package could serve organisations managing several lakes or catchments, adding portfolio dashboards, comparative risk views, API access and customised reporting.</w:t>
      </w:r>
    </w:p>
    <w:p w14:paraId="0E8189C1" w14:textId="77777777" w:rsidR="00663246" w:rsidRPr="00663246" w:rsidRDefault="00663246" w:rsidP="00663246">
      <w:pPr>
        <w:spacing w:after="0" w:line="276" w:lineRule="auto"/>
        <w:ind w:firstLine="720"/>
        <w:jc w:val="both"/>
        <w:rPr>
          <w:rFonts w:ascii="Cambria" w:hAnsi="Cambria"/>
          <w:lang w:val="en-GB"/>
        </w:rPr>
      </w:pPr>
      <w:r w:rsidRPr="00663246">
        <w:rPr>
          <w:rFonts w:ascii="Cambria" w:hAnsi="Cambria"/>
          <w:lang w:val="en-GB"/>
        </w:rPr>
        <w:t>Pricing should initially be value- and scope-based rather than purely sensor-based. The commercial unit should reflect monitoring coverage, number of sites, sampling frequency, reporting intensity and service response requirements. Customers should understand that they are purchasing environmental intelligence and risk visibility, not simply devices. This reduces the risk of competing on hardware price and creates a path to recurring revenue.</w:t>
      </w:r>
    </w:p>
    <w:p w14:paraId="370202C9" w14:textId="77777777" w:rsidR="00663246" w:rsidRDefault="00663246" w:rsidP="00663246">
      <w:pPr>
        <w:pStyle w:val="Heading1"/>
        <w:spacing w:before="0" w:after="0" w:line="276" w:lineRule="auto"/>
        <w:jc w:val="both"/>
        <w:rPr>
          <w:rFonts w:ascii="Cambria" w:hAnsi="Cambria"/>
          <w:sz w:val="24"/>
          <w:szCs w:val="24"/>
          <w:lang w:val="en-GB"/>
        </w:rPr>
      </w:pPr>
    </w:p>
    <w:p w14:paraId="039FEA30" w14:textId="3BBA003B" w:rsidR="00663246" w:rsidRPr="009C43FB" w:rsidRDefault="00663246" w:rsidP="00663246">
      <w:pPr>
        <w:pStyle w:val="Heading1"/>
        <w:spacing w:before="0" w:after="0" w:line="276" w:lineRule="auto"/>
        <w:ind w:firstLine="720"/>
        <w:jc w:val="both"/>
        <w:rPr>
          <w:rFonts w:ascii="Cambria" w:hAnsi="Cambria"/>
          <w:b/>
          <w:bCs/>
          <w:color w:val="auto"/>
          <w:sz w:val="24"/>
          <w:szCs w:val="24"/>
          <w:lang w:val="en-GB"/>
        </w:rPr>
      </w:pPr>
      <w:r w:rsidRPr="009C43FB">
        <w:rPr>
          <w:rFonts w:ascii="Cambria" w:hAnsi="Cambria"/>
          <w:b/>
          <w:bCs/>
          <w:color w:val="auto"/>
          <w:sz w:val="24"/>
          <w:szCs w:val="24"/>
          <w:lang w:val="en-GB"/>
        </w:rPr>
        <w:t>7. Coaching conclusion and immediate next steps</w:t>
      </w:r>
    </w:p>
    <w:p w14:paraId="28E7E7AA" w14:textId="77777777" w:rsidR="00663246" w:rsidRPr="00663246" w:rsidRDefault="00663246" w:rsidP="00663246">
      <w:pPr>
        <w:spacing w:after="0" w:line="276" w:lineRule="auto"/>
        <w:ind w:firstLine="720"/>
        <w:jc w:val="both"/>
        <w:rPr>
          <w:rFonts w:ascii="Cambria" w:hAnsi="Cambria"/>
          <w:lang w:val="en-GB"/>
        </w:rPr>
      </w:pPr>
      <w:r w:rsidRPr="00663246">
        <w:rPr>
          <w:rFonts w:ascii="Cambria" w:hAnsi="Cambria"/>
          <w:lang w:val="en-GB"/>
        </w:rPr>
        <w:t>The entrepreneurial idea has a credible path to commercialisation if it is positioned as a decision-support service rather than a sensor product. The recommended revenue logic is a hybrid model centred on Monitoring Intelligence as a Service, supported by institutional subscriptions, project-based pilots and channel partnerships with laboratories and environmental engineering firms. This architecture combines recurring revenue potential with a realistic route into a market where trust, validation and institutional procurement are critical.</w:t>
      </w:r>
    </w:p>
    <w:p w14:paraId="63AF2F62" w14:textId="77777777" w:rsidR="00663246" w:rsidRPr="00663246" w:rsidRDefault="00663246" w:rsidP="00663246">
      <w:pPr>
        <w:spacing w:after="0" w:line="276" w:lineRule="auto"/>
        <w:ind w:firstLine="720"/>
        <w:jc w:val="both"/>
        <w:rPr>
          <w:rFonts w:ascii="Cambria" w:hAnsi="Cambria"/>
          <w:lang w:val="en-GB"/>
        </w:rPr>
      </w:pPr>
      <w:r w:rsidRPr="00663246">
        <w:rPr>
          <w:rFonts w:ascii="Cambria" w:hAnsi="Cambria"/>
          <w:lang w:val="en-GB"/>
        </w:rPr>
        <w:t>The immediate next steps are to select one priority customer segment and pilot lake; define a limited technical scope; secure a laboratory or engineering partner; conduct customer interviews; design a paid pilot offer; and test willingness to convert the pilot into an annual service agreement. The business model should then be refined using evidence from actual procurement conversations, operational costs and customer use of the resulting alerts and reports.</w:t>
      </w:r>
    </w:p>
    <w:p w14:paraId="40C52096" w14:textId="640498D2" w:rsidR="00951170" w:rsidRPr="00663246" w:rsidRDefault="00951170" w:rsidP="00663246">
      <w:pPr>
        <w:spacing w:after="0" w:line="276" w:lineRule="auto"/>
        <w:jc w:val="both"/>
        <w:rPr>
          <w:rFonts w:ascii="Cambria" w:hAnsi="Cambria"/>
          <w:lang w:val="en-GB"/>
        </w:rPr>
      </w:pPr>
    </w:p>
    <w:p w14:paraId="7708186C" w14:textId="69A7A37C" w:rsidR="00972B50" w:rsidRPr="00663246" w:rsidRDefault="00972B50" w:rsidP="00663246">
      <w:pPr>
        <w:spacing w:after="0" w:line="276" w:lineRule="auto"/>
        <w:jc w:val="both"/>
        <w:rPr>
          <w:rFonts w:ascii="Cambria" w:hAnsi="Cambria"/>
          <w:lang w:val="en-GB"/>
        </w:rPr>
      </w:pPr>
      <w:r w:rsidRPr="00663246">
        <w:rPr>
          <w:rFonts w:ascii="Cambria" w:hAnsi="Cambria"/>
          <w:b/>
          <w:bCs/>
          <w:lang w:val="en-GB"/>
        </w:rPr>
        <w:t>Coaching requested by</w:t>
      </w:r>
      <w:r w:rsidRPr="00663246">
        <w:rPr>
          <w:rFonts w:ascii="Cambria" w:hAnsi="Cambria"/>
          <w:lang w:val="en-GB"/>
        </w:rPr>
        <w:t xml:space="preserve">: </w:t>
      </w:r>
      <w:r w:rsidR="00663246" w:rsidRPr="00663246">
        <w:rPr>
          <w:rFonts w:ascii="Cambria" w:hAnsi="Cambria"/>
          <w:lang w:val="en-GB"/>
        </w:rPr>
        <w:t>Sebastian Felea</w:t>
      </w:r>
      <w:r w:rsidRPr="00663246">
        <w:rPr>
          <w:rFonts w:ascii="Cambria" w:hAnsi="Cambria"/>
          <w:lang w:val="en-GB"/>
        </w:rPr>
        <w:t xml:space="preserve"> (</w:t>
      </w:r>
      <w:r w:rsidR="00663246" w:rsidRPr="00663246">
        <w:rPr>
          <w:rFonts w:ascii="Cambria" w:hAnsi="Cambria"/>
          <w:lang w:val="en-GB"/>
        </w:rPr>
        <w:t>Norway</w:t>
      </w:r>
      <w:r w:rsidRPr="00663246">
        <w:rPr>
          <w:rFonts w:ascii="Cambria" w:hAnsi="Cambria"/>
          <w:lang w:val="en-GB"/>
        </w:rPr>
        <w:t xml:space="preserve"> demo</w:t>
      </w:r>
      <w:r w:rsidR="00663246">
        <w:rPr>
          <w:rFonts w:ascii="Cambria" w:hAnsi="Cambria"/>
          <w:lang w:val="en-GB"/>
        </w:rPr>
        <w:t>-</w:t>
      </w:r>
      <w:r w:rsidRPr="00663246">
        <w:rPr>
          <w:rFonts w:ascii="Cambria" w:hAnsi="Cambria"/>
          <w:lang w:val="en-GB"/>
        </w:rPr>
        <w:t>site)</w:t>
      </w:r>
    </w:p>
    <w:p w14:paraId="775D021D" w14:textId="50DADAC8" w:rsidR="00972B50" w:rsidRPr="00663246" w:rsidRDefault="00972B50" w:rsidP="00663246">
      <w:pPr>
        <w:spacing w:after="0" w:line="276" w:lineRule="auto"/>
        <w:jc w:val="both"/>
        <w:rPr>
          <w:rFonts w:ascii="Cambria" w:hAnsi="Cambria"/>
          <w:b/>
          <w:bCs/>
          <w:lang w:val="en-GB"/>
        </w:rPr>
      </w:pPr>
      <w:r w:rsidRPr="00663246">
        <w:rPr>
          <w:rFonts w:ascii="Cambria" w:hAnsi="Cambria"/>
          <w:b/>
          <w:bCs/>
          <w:lang w:val="en-GB"/>
        </w:rPr>
        <w:t xml:space="preserve">Business coach: </w:t>
      </w:r>
      <w:r w:rsidRPr="00663246">
        <w:rPr>
          <w:rFonts w:ascii="Cambria" w:hAnsi="Cambria"/>
          <w:lang w:val="en-GB"/>
        </w:rPr>
        <w:t>Alexandru Capatina</w:t>
      </w:r>
    </w:p>
    <w:p w14:paraId="189A515D" w14:textId="2C9BCE78" w:rsidR="00972B50" w:rsidRPr="00663246" w:rsidRDefault="00972B50" w:rsidP="00663246">
      <w:pPr>
        <w:spacing w:after="0" w:line="276" w:lineRule="auto"/>
        <w:jc w:val="both"/>
        <w:rPr>
          <w:rFonts w:ascii="Cambria" w:hAnsi="Cambria"/>
          <w:lang w:val="en-GB"/>
        </w:rPr>
      </w:pPr>
      <w:r w:rsidRPr="00663246">
        <w:rPr>
          <w:rFonts w:ascii="Cambria" w:hAnsi="Cambria"/>
          <w:noProof/>
          <w:lang w:val="en-GB"/>
        </w:rPr>
        <w:drawing>
          <wp:anchor distT="0" distB="0" distL="114300" distR="114300" simplePos="0" relativeHeight="251659264" behindDoc="0" locked="0" layoutInCell="1" allowOverlap="1" wp14:anchorId="51933726" wp14:editId="2F138234">
            <wp:simplePos x="0" y="0"/>
            <wp:positionH relativeFrom="margin">
              <wp:posOffset>869950</wp:posOffset>
            </wp:positionH>
            <wp:positionV relativeFrom="paragraph">
              <wp:posOffset>28575</wp:posOffset>
            </wp:positionV>
            <wp:extent cx="647700" cy="4603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47700" cy="460375"/>
                    </a:xfrm>
                    <a:prstGeom prst="rect">
                      <a:avLst/>
                    </a:prstGeom>
                  </pic:spPr>
                </pic:pic>
              </a:graphicData>
            </a:graphic>
            <wp14:sizeRelH relativeFrom="margin">
              <wp14:pctWidth>0</wp14:pctWidth>
            </wp14:sizeRelH>
            <wp14:sizeRelV relativeFrom="margin">
              <wp14:pctHeight>0</wp14:pctHeight>
            </wp14:sizeRelV>
          </wp:anchor>
        </w:drawing>
      </w:r>
      <w:r w:rsidRPr="00663246">
        <w:rPr>
          <w:rFonts w:ascii="Cambria" w:hAnsi="Cambria"/>
          <w:b/>
          <w:bCs/>
          <w:lang w:val="en-GB"/>
        </w:rPr>
        <w:t>Signature</w:t>
      </w:r>
      <w:r w:rsidRPr="00663246">
        <w:rPr>
          <w:rFonts w:ascii="Cambria" w:hAnsi="Cambria"/>
          <w:lang w:val="en-GB"/>
        </w:rPr>
        <w:t xml:space="preserve">: </w:t>
      </w:r>
    </w:p>
    <w:p w14:paraId="7262DEFD" w14:textId="77777777" w:rsidR="00972B50" w:rsidRPr="00663246" w:rsidRDefault="00972B50" w:rsidP="00663246">
      <w:pPr>
        <w:spacing w:after="0" w:line="276" w:lineRule="auto"/>
        <w:jc w:val="both"/>
        <w:rPr>
          <w:rFonts w:ascii="Cambria" w:hAnsi="Cambria"/>
          <w:lang w:val="en-GB"/>
        </w:rPr>
      </w:pPr>
    </w:p>
    <w:p w14:paraId="39AAF3B7" w14:textId="77777777" w:rsidR="00972B50" w:rsidRPr="00663246" w:rsidRDefault="00972B50" w:rsidP="00663246">
      <w:pPr>
        <w:spacing w:after="0" w:line="276" w:lineRule="auto"/>
        <w:jc w:val="both"/>
        <w:rPr>
          <w:rFonts w:ascii="Cambria" w:hAnsi="Cambria"/>
          <w:lang w:val="en-GB"/>
        </w:rPr>
      </w:pPr>
    </w:p>
    <w:p w14:paraId="7BC3EF6A" w14:textId="58C72BE1" w:rsidR="00972B50" w:rsidRPr="00663246" w:rsidRDefault="00972B50" w:rsidP="00663246">
      <w:pPr>
        <w:spacing w:after="0" w:line="276" w:lineRule="auto"/>
        <w:jc w:val="both"/>
        <w:rPr>
          <w:rFonts w:ascii="Cambria" w:hAnsi="Cambria"/>
          <w:lang w:val="en-GB"/>
        </w:rPr>
      </w:pPr>
      <w:r w:rsidRPr="00663246">
        <w:rPr>
          <w:rFonts w:ascii="Cambria" w:hAnsi="Cambria"/>
          <w:lang w:val="en-GB"/>
        </w:rPr>
        <w:t xml:space="preserve">Date: </w:t>
      </w:r>
      <w:r w:rsidR="00663246" w:rsidRPr="00663246">
        <w:rPr>
          <w:rFonts w:ascii="Cambria" w:hAnsi="Cambria"/>
          <w:lang w:val="en-GB"/>
        </w:rPr>
        <w:t>25</w:t>
      </w:r>
      <w:r w:rsidRPr="00663246">
        <w:rPr>
          <w:rFonts w:ascii="Cambria" w:hAnsi="Cambria"/>
          <w:vertAlign w:val="superscript"/>
          <w:lang w:val="en-GB"/>
        </w:rPr>
        <w:t>th</w:t>
      </w:r>
      <w:r w:rsidRPr="00663246">
        <w:rPr>
          <w:rFonts w:ascii="Cambria" w:hAnsi="Cambria"/>
          <w:lang w:val="en-GB"/>
        </w:rPr>
        <w:t xml:space="preserve"> of </w:t>
      </w:r>
      <w:r w:rsidR="00663246" w:rsidRPr="00663246">
        <w:rPr>
          <w:rFonts w:ascii="Cambria" w:hAnsi="Cambria"/>
          <w:lang w:val="en-GB"/>
        </w:rPr>
        <w:t>August</w:t>
      </w:r>
      <w:r w:rsidRPr="00663246">
        <w:rPr>
          <w:rFonts w:ascii="Cambria" w:hAnsi="Cambria"/>
          <w:lang w:val="en-GB"/>
        </w:rPr>
        <w:t xml:space="preserve"> 2026</w:t>
      </w:r>
    </w:p>
    <w:p w14:paraId="54FC4C7D" w14:textId="77777777" w:rsidR="00972B50" w:rsidRPr="00663246" w:rsidRDefault="00972B50" w:rsidP="00663246">
      <w:pPr>
        <w:spacing w:after="0" w:line="276" w:lineRule="auto"/>
        <w:jc w:val="both"/>
        <w:rPr>
          <w:rFonts w:ascii="Cambria" w:hAnsi="Cambria"/>
          <w:lang w:val="en-GB"/>
        </w:rPr>
      </w:pPr>
    </w:p>
    <w:sectPr w:rsidR="00972B50" w:rsidRPr="00663246" w:rsidSect="00951170">
      <w:headerReference w:type="even" r:id="rId8"/>
      <w:headerReference w:type="default" r:id="rId9"/>
      <w:pgSz w:w="11906" w:h="16838" w:code="9"/>
      <w:pgMar w:top="1440" w:right="1440" w:bottom="1440" w:left="1440" w:header="851" w:footer="62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7BFA2" w14:textId="77777777" w:rsidR="00951DC5" w:rsidRDefault="00951DC5" w:rsidP="00827818">
      <w:pPr>
        <w:spacing w:after="0" w:line="240" w:lineRule="auto"/>
      </w:pPr>
      <w:r>
        <w:separator/>
      </w:r>
    </w:p>
  </w:endnote>
  <w:endnote w:type="continuationSeparator" w:id="0">
    <w:p w14:paraId="17748E96" w14:textId="77777777" w:rsidR="00951DC5" w:rsidRDefault="00951DC5" w:rsidP="00827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EC636" w14:textId="77777777" w:rsidR="00951DC5" w:rsidRDefault="00951DC5" w:rsidP="00827818">
      <w:pPr>
        <w:spacing w:after="0" w:line="240" w:lineRule="auto"/>
      </w:pPr>
      <w:r>
        <w:separator/>
      </w:r>
    </w:p>
  </w:footnote>
  <w:footnote w:type="continuationSeparator" w:id="0">
    <w:p w14:paraId="6FE933BB" w14:textId="77777777" w:rsidR="00951DC5" w:rsidRDefault="00951DC5" w:rsidP="008278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5245A" w14:textId="7112CE66" w:rsidR="00827818" w:rsidRDefault="00827818">
    <w:pPr>
      <w:pStyle w:val="Header"/>
    </w:pPr>
    <w:r w:rsidRPr="00977087">
      <w:rPr>
        <w:rFonts w:ascii="Cambria" w:hAnsi="Cambria"/>
        <w:noProof/>
        <w:sz w:val="28"/>
        <w:szCs w:val="28"/>
      </w:rPr>
      <w:drawing>
        <wp:anchor distT="0" distB="0" distL="114300" distR="114300" simplePos="0" relativeHeight="251661312" behindDoc="0" locked="0" layoutInCell="1" allowOverlap="1" wp14:anchorId="79852253" wp14:editId="57A81645">
          <wp:simplePos x="0" y="0"/>
          <wp:positionH relativeFrom="margin">
            <wp:align>right</wp:align>
          </wp:positionH>
          <wp:positionV relativeFrom="paragraph">
            <wp:posOffset>-381000</wp:posOffset>
          </wp:positionV>
          <wp:extent cx="1670050" cy="787400"/>
          <wp:effectExtent l="0" t="0" r="6350" b="0"/>
          <wp:wrapSquare wrapText="bothSides"/>
          <wp:docPr id="64767963"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483469" name="Picture 1" descr="A logo with text on i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70050" cy="787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6C569" w14:textId="7CFD3315" w:rsidR="00827818" w:rsidRDefault="00827818">
    <w:pPr>
      <w:pStyle w:val="Header"/>
    </w:pPr>
    <w:r w:rsidRPr="00977087">
      <w:rPr>
        <w:rFonts w:ascii="Cambria" w:hAnsi="Cambria"/>
        <w:noProof/>
        <w:sz w:val="28"/>
        <w:szCs w:val="28"/>
      </w:rPr>
      <w:drawing>
        <wp:anchor distT="0" distB="0" distL="114300" distR="114300" simplePos="0" relativeHeight="251659264" behindDoc="0" locked="0" layoutInCell="1" allowOverlap="1" wp14:anchorId="189D99CD" wp14:editId="118675B0">
          <wp:simplePos x="0" y="0"/>
          <wp:positionH relativeFrom="margin">
            <wp:align>right</wp:align>
          </wp:positionH>
          <wp:positionV relativeFrom="paragraph">
            <wp:posOffset>-495300</wp:posOffset>
          </wp:positionV>
          <wp:extent cx="1670050" cy="787400"/>
          <wp:effectExtent l="0" t="0" r="6350" b="0"/>
          <wp:wrapSquare wrapText="bothSides"/>
          <wp:docPr id="1962483469"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483469" name="Picture 1" descr="A logo with text on i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70050" cy="787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8BC50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2DB27F4"/>
    <w:multiLevelType w:val="multilevel"/>
    <w:tmpl w:val="EC0E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724933"/>
    <w:multiLevelType w:val="multilevel"/>
    <w:tmpl w:val="CAD6F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221644"/>
    <w:multiLevelType w:val="multilevel"/>
    <w:tmpl w:val="AD123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330830"/>
    <w:multiLevelType w:val="multilevel"/>
    <w:tmpl w:val="7CB0E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615F58"/>
    <w:multiLevelType w:val="multilevel"/>
    <w:tmpl w:val="2118E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1A4222"/>
    <w:multiLevelType w:val="multilevel"/>
    <w:tmpl w:val="9EFA5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E4770D"/>
    <w:multiLevelType w:val="multilevel"/>
    <w:tmpl w:val="04962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5476083">
    <w:abstractNumId w:val="5"/>
  </w:num>
  <w:num w:numId="2" w16cid:durableId="73862839">
    <w:abstractNumId w:val="3"/>
  </w:num>
  <w:num w:numId="3" w16cid:durableId="622542899">
    <w:abstractNumId w:val="2"/>
  </w:num>
  <w:num w:numId="4" w16cid:durableId="41102321">
    <w:abstractNumId w:val="1"/>
  </w:num>
  <w:num w:numId="5" w16cid:durableId="1390806695">
    <w:abstractNumId w:val="7"/>
  </w:num>
  <w:num w:numId="6" w16cid:durableId="1886797209">
    <w:abstractNumId w:val="6"/>
  </w:num>
  <w:num w:numId="7" w16cid:durableId="130489209">
    <w:abstractNumId w:val="4"/>
  </w:num>
  <w:num w:numId="8" w16cid:durableId="1134644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evenAndOddHeaders/>
  <w:drawingGridHorizontalSpacing w:val="74"/>
  <w:drawingGridVerticalSpacing w:val="109"/>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170"/>
    <w:rsid w:val="000217A4"/>
    <w:rsid w:val="00176031"/>
    <w:rsid w:val="0022431B"/>
    <w:rsid w:val="0034726D"/>
    <w:rsid w:val="004F1E01"/>
    <w:rsid w:val="00663246"/>
    <w:rsid w:val="006757E4"/>
    <w:rsid w:val="00806DBA"/>
    <w:rsid w:val="00827818"/>
    <w:rsid w:val="0085395E"/>
    <w:rsid w:val="00951170"/>
    <w:rsid w:val="00951DC5"/>
    <w:rsid w:val="00972B50"/>
    <w:rsid w:val="009C43FB"/>
    <w:rsid w:val="00A0209C"/>
    <w:rsid w:val="00E26128"/>
    <w:rsid w:val="00E96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CE114"/>
  <w15:chartTrackingRefBased/>
  <w15:docId w15:val="{BCDBA871-B1DF-48A9-8F14-C77F8B358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11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11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11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11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11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11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11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11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11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11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11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11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11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11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11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11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11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1170"/>
    <w:rPr>
      <w:rFonts w:eastAsiaTheme="majorEastAsia" w:cstheme="majorBidi"/>
      <w:color w:val="272727" w:themeColor="text1" w:themeTint="D8"/>
    </w:rPr>
  </w:style>
  <w:style w:type="paragraph" w:styleId="Title">
    <w:name w:val="Title"/>
    <w:basedOn w:val="Normal"/>
    <w:next w:val="Normal"/>
    <w:link w:val="TitleChar"/>
    <w:uiPriority w:val="10"/>
    <w:qFormat/>
    <w:rsid w:val="009511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11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11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11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1170"/>
    <w:pPr>
      <w:spacing w:before="160"/>
      <w:jc w:val="center"/>
    </w:pPr>
    <w:rPr>
      <w:i/>
      <w:iCs/>
      <w:color w:val="404040" w:themeColor="text1" w:themeTint="BF"/>
    </w:rPr>
  </w:style>
  <w:style w:type="character" w:customStyle="1" w:styleId="QuoteChar">
    <w:name w:val="Quote Char"/>
    <w:basedOn w:val="DefaultParagraphFont"/>
    <w:link w:val="Quote"/>
    <w:uiPriority w:val="29"/>
    <w:rsid w:val="00951170"/>
    <w:rPr>
      <w:i/>
      <w:iCs/>
      <w:color w:val="404040" w:themeColor="text1" w:themeTint="BF"/>
    </w:rPr>
  </w:style>
  <w:style w:type="paragraph" w:styleId="ListParagraph">
    <w:name w:val="List Paragraph"/>
    <w:basedOn w:val="Normal"/>
    <w:uiPriority w:val="34"/>
    <w:qFormat/>
    <w:rsid w:val="00951170"/>
    <w:pPr>
      <w:ind w:left="720"/>
      <w:contextualSpacing/>
    </w:pPr>
  </w:style>
  <w:style w:type="character" w:styleId="IntenseEmphasis">
    <w:name w:val="Intense Emphasis"/>
    <w:basedOn w:val="DefaultParagraphFont"/>
    <w:uiPriority w:val="21"/>
    <w:qFormat/>
    <w:rsid w:val="00951170"/>
    <w:rPr>
      <w:i/>
      <w:iCs/>
      <w:color w:val="0F4761" w:themeColor="accent1" w:themeShade="BF"/>
    </w:rPr>
  </w:style>
  <w:style w:type="paragraph" w:styleId="IntenseQuote">
    <w:name w:val="Intense Quote"/>
    <w:basedOn w:val="Normal"/>
    <w:next w:val="Normal"/>
    <w:link w:val="IntenseQuoteChar"/>
    <w:uiPriority w:val="30"/>
    <w:qFormat/>
    <w:rsid w:val="009511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1170"/>
    <w:rPr>
      <w:i/>
      <w:iCs/>
      <w:color w:val="0F4761" w:themeColor="accent1" w:themeShade="BF"/>
    </w:rPr>
  </w:style>
  <w:style w:type="character" w:styleId="IntenseReference">
    <w:name w:val="Intense Reference"/>
    <w:basedOn w:val="DefaultParagraphFont"/>
    <w:uiPriority w:val="32"/>
    <w:qFormat/>
    <w:rsid w:val="00951170"/>
    <w:rPr>
      <w:b/>
      <w:bCs/>
      <w:smallCaps/>
      <w:color w:val="0F4761" w:themeColor="accent1" w:themeShade="BF"/>
      <w:spacing w:val="5"/>
    </w:rPr>
  </w:style>
  <w:style w:type="paragraph" w:styleId="Header">
    <w:name w:val="header"/>
    <w:basedOn w:val="Normal"/>
    <w:link w:val="HeaderChar"/>
    <w:uiPriority w:val="99"/>
    <w:unhideWhenUsed/>
    <w:rsid w:val="008278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818"/>
  </w:style>
  <w:style w:type="paragraph" w:styleId="Footer">
    <w:name w:val="footer"/>
    <w:basedOn w:val="Normal"/>
    <w:link w:val="FooterChar"/>
    <w:uiPriority w:val="99"/>
    <w:unhideWhenUsed/>
    <w:rsid w:val="008278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818"/>
  </w:style>
  <w:style w:type="paragraph" w:styleId="ListBullet">
    <w:name w:val="List Bullet"/>
    <w:basedOn w:val="Normal"/>
    <w:uiPriority w:val="99"/>
    <w:unhideWhenUsed/>
    <w:rsid w:val="00663246"/>
    <w:pPr>
      <w:numPr>
        <w:numId w:val="8"/>
      </w:numPr>
      <w:tabs>
        <w:tab w:val="clear" w:pos="360"/>
      </w:tabs>
      <w:spacing w:after="80" w:line="247" w:lineRule="auto"/>
      <w:ind w:left="0" w:firstLine="0"/>
      <w:contextualSpacing/>
    </w:pPr>
    <w:rPr>
      <w:rFonts w:ascii="Times New Roman" w:eastAsia="Times New Roman" w:hAnsi="Times New Roman"/>
      <w:kern w:val="0"/>
      <w:sz w:val="21"/>
      <w:szCs w:val="22"/>
      <w14:ligatures w14:val="none"/>
    </w:rPr>
  </w:style>
  <w:style w:type="table" w:styleId="TableGrid">
    <w:name w:val="Table Grid"/>
    <w:basedOn w:val="TableNormal"/>
    <w:uiPriority w:val="59"/>
    <w:rsid w:val="00663246"/>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1283</Words>
  <Characters>7319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Căpățînă</dc:creator>
  <cp:keywords/>
  <dc:description/>
  <cp:lastModifiedBy>Alexandru Căpățînă</cp:lastModifiedBy>
  <cp:revision>5</cp:revision>
  <dcterms:created xsi:type="dcterms:W3CDTF">2026-07-09T13:21:00Z</dcterms:created>
  <dcterms:modified xsi:type="dcterms:W3CDTF">2026-08-25T16:28:00Z</dcterms:modified>
</cp:coreProperties>
</file>